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E12BA8" w:rsidRDefault="00BA68A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A68A9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23 ธันวาคม พ.ศ. 2564</w:t>
      </w:r>
    </w:p>
    <w:p w:rsidR="00BA68A9" w:rsidRPr="00F87913" w:rsidRDefault="00BA68A9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bookmarkStart w:id="0" w:name="_GoBack"/>
      <w:r w:rsidR="001C3AC4" w:rsidRPr="001C3AC4">
        <w:rPr>
          <w:rFonts w:ascii="BrowalliaUPC" w:hAnsi="BrowalliaUPC" w:cs="BrowalliaUPC"/>
          <w:b/>
          <w:bCs/>
          <w:sz w:val="32"/>
          <w:szCs w:val="32"/>
          <w:cs/>
        </w:rPr>
        <w:t xml:space="preserve">3 การกำหนดหลักเกณฑ์ราคานำเข้า </w:t>
      </w:r>
      <w:r w:rsidR="001C3AC4" w:rsidRPr="001C3AC4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bookmarkEnd w:id="0"/>
      <w:r w:rsidR="001C3AC4" w:rsidRPr="001C3AC4">
        <w:rPr>
          <w:rFonts w:ascii="BrowalliaUPC" w:hAnsi="BrowalliaUPC" w:cs="BrowalliaUPC"/>
          <w:b/>
          <w:bCs/>
          <w:sz w:val="32"/>
          <w:szCs w:val="32"/>
          <w:cs/>
        </w:rPr>
        <w:t>สำหรับกลุ่มที่อยู่ภายใต้การกำกับดูแลของคณะกรรมการกำกับกิจการพลังงาน</w:t>
      </w: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1C3AC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C3AC4">
        <w:rPr>
          <w:rFonts w:ascii="BrowalliaUPC" w:hAnsi="BrowalliaUPC" w:cs="BrowalliaUPC"/>
          <w:sz w:val="32"/>
          <w:szCs w:val="32"/>
          <w:cs/>
        </w:rPr>
        <w:t xml:space="preserve">.) ได้มอบหมายให้สำนักงานนโยบายและแผนพลังงาน (สนพ.) ร่วมกับสำนักงานคณะกรรมการกำกับกิจการพลังงาน (สำนักงาน กกพ.) พิจารณากำหนดหลักเกณฑ์ราคานำเข้า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1C3AC4">
        <w:rPr>
          <w:rFonts w:ascii="BrowalliaUPC" w:hAnsi="BrowalliaUPC" w:cs="BrowalliaUPC"/>
          <w:sz w:val="32"/>
          <w:szCs w:val="32"/>
          <w:cs/>
        </w:rPr>
        <w:t>สำหรับสัญญาระยะยาวและ/หรือสัญญาระยะกลาง สำหรับกลุ่มที่อยู่ภายใต้การกำกับดูแลของคณะกรรมการกำกับกิจการพลังงาน (กกพ.) (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และนำเสนอขอความเห็นชอบจากคณะกรรมการบริหารนโยบายพลังงาน (กบง.) และ </w:t>
      </w:r>
      <w:proofErr w:type="spellStart"/>
      <w:r w:rsidRPr="001C3AC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C3AC4">
        <w:rPr>
          <w:rFonts w:ascii="BrowalliaUPC" w:hAnsi="BrowalliaUPC" w:cs="BrowalliaUPC"/>
          <w:sz w:val="32"/>
          <w:szCs w:val="32"/>
          <w:cs/>
        </w:rPr>
        <w:t>. ก่อนประกาศเป็นหลักเกณฑ์ให้ผู้ประกอบการจัดหาและค้าส่งก๊าซธรรมชาติ (</w:t>
      </w:r>
      <w:r w:rsidRPr="001C3AC4">
        <w:rPr>
          <w:rFonts w:ascii="BrowalliaUPC" w:hAnsi="BrowalliaUPC" w:cs="BrowalliaUPC"/>
          <w:sz w:val="32"/>
          <w:szCs w:val="32"/>
        </w:rPr>
        <w:t xml:space="preserve">Shipper)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นำไปใช้ในการจัดหาต่อไป และหลังจากที่การเจรจาสัญญามีข้อยุติให้นำสัญญาซื้อขาย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เสนอต่อ กบง. พิจารณาให้ความเห็นชอบก่อนดำเนินการ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    2. สนพ. และสำนักงาน กกพ. ได้ร่วมกันจัดจ้างมหาวิทยาลัยเชียงใหม่ศึกษาหลักเกณฑ์ราคา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โดยศึกษาวิธีการกำหนดราคา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และสูตรในสัญญาระยะยาวของต่างประเทศ โดยเฉพาะประเทศในภูมิภาคเอเชียพบว่า ปัจจุบันมีการใช้สูตรราคา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หลากหลายรูปแบบ ได้แก่ รูปแบบอ้างอิงราคาน้ำมัน (</w:t>
      </w:r>
      <w:r w:rsidRPr="001C3AC4">
        <w:rPr>
          <w:rFonts w:ascii="BrowalliaUPC" w:hAnsi="BrowalliaUPC" w:cs="BrowalliaUPC"/>
          <w:sz w:val="32"/>
          <w:szCs w:val="32"/>
        </w:rPr>
        <w:t xml:space="preserve">Oil-linked) </w:t>
      </w:r>
      <w:r w:rsidRPr="001C3AC4">
        <w:rPr>
          <w:rFonts w:ascii="BrowalliaUPC" w:hAnsi="BrowalliaUPC" w:cs="BrowalliaUPC"/>
          <w:sz w:val="32"/>
          <w:szCs w:val="32"/>
          <w:cs/>
        </w:rPr>
        <w:t>รูปแบบอ้างอิงราคาก๊าซธรรมชาติ (</w:t>
      </w:r>
      <w:r w:rsidRPr="001C3AC4">
        <w:rPr>
          <w:rFonts w:ascii="BrowalliaUPC" w:hAnsi="BrowalliaUPC" w:cs="BrowalliaUPC"/>
          <w:sz w:val="32"/>
          <w:szCs w:val="32"/>
        </w:rPr>
        <w:t xml:space="preserve">Gas-linked)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>ซึ่งอ้างอิงทั้งราคาน้ำมันและก๊าซธรรมชาติ (</w:t>
      </w:r>
      <w:r w:rsidRPr="001C3AC4">
        <w:rPr>
          <w:rFonts w:ascii="BrowalliaUPC" w:hAnsi="BrowalliaUPC" w:cs="BrowalliaUPC"/>
          <w:sz w:val="32"/>
          <w:szCs w:val="32"/>
        </w:rPr>
        <w:t xml:space="preserve">Hybrid oil gas linked)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และอื่น ๆ โดยมีสมการกำหนดราคา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ทั้งแบบเส้นตรง (</w:t>
      </w:r>
      <w:r w:rsidRPr="001C3AC4">
        <w:rPr>
          <w:rFonts w:ascii="BrowalliaUPC" w:hAnsi="BrowalliaUPC" w:cs="BrowalliaUPC"/>
          <w:sz w:val="32"/>
          <w:szCs w:val="32"/>
        </w:rPr>
        <w:t xml:space="preserve">Linear formula)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ซึ่งมีข้อเสีย คือ ผู้ซื้อก๊าซจะค่อนข้างได้เปรียบ เนื่องจากหากราคาน้ำมันต่ำราคาก๊าซก็จะต่ำตามไปด้วย ในขณะที่หากราคาน้ำมันสูงขึ้นราคาก๊าซจะขึ้นในอัตราที่ต่ำกว่าเมื่อเทียบค่าความร้อนที่เท่ากัน และสมการแบบ </w:t>
      </w:r>
      <w:r w:rsidRPr="001C3AC4">
        <w:rPr>
          <w:rFonts w:ascii="BrowalliaUPC" w:hAnsi="BrowalliaUPC" w:cs="BrowalliaUPC"/>
          <w:sz w:val="32"/>
          <w:szCs w:val="32"/>
        </w:rPr>
        <w:t xml:space="preserve">S-Curve (S-Curve formula)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ซึ่งคิดค้นขึ้นเพื่อความเป็นธรรมแก่ทั้งฝ่ายผู้ซื้อและผู้ขาย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มากขึ้น ทั้งนี้ การกำหนดราคานำเข้า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ของประเทศไทยปัจจุบันดำเนินการโดยบริษัท ปตท. จำกัด (มหาชน) (ปตท.) โดยรูปแบบสัญญาระยะยาวกำหนดให้เป็นสัดส่วนอ้างอิงกับดัชนีแบบถ่วงน้ำหนักระหว่างราคานำเข้า</w:t>
      </w:r>
      <w:proofErr w:type="spellStart"/>
      <w:r w:rsidRPr="001C3AC4">
        <w:rPr>
          <w:rFonts w:ascii="BrowalliaUPC" w:hAnsi="BrowalliaUPC" w:cs="BrowalliaUPC"/>
          <w:sz w:val="32"/>
          <w:szCs w:val="32"/>
          <w:cs/>
        </w:rPr>
        <w:t>นํ้า</w:t>
      </w:r>
      <w:proofErr w:type="spellEnd"/>
      <w:r w:rsidRPr="001C3AC4">
        <w:rPr>
          <w:rFonts w:ascii="BrowalliaUPC" w:hAnsi="BrowalliaUPC" w:cs="BrowalliaUPC"/>
          <w:sz w:val="32"/>
          <w:szCs w:val="32"/>
          <w:cs/>
        </w:rPr>
        <w:t>มันดิบเฉลี่ยของประเทศญี่ปุ่นในแต่ละเดือน (</w:t>
      </w:r>
      <w:r w:rsidRPr="001C3AC4">
        <w:rPr>
          <w:rFonts w:ascii="BrowalliaUPC" w:hAnsi="BrowalliaUPC" w:cs="BrowalliaUPC"/>
          <w:sz w:val="32"/>
          <w:szCs w:val="32"/>
        </w:rPr>
        <w:t xml:space="preserve">Japan Crude Cocktail: JCC) </w:t>
      </w:r>
      <w:r w:rsidRPr="001C3AC4">
        <w:rPr>
          <w:rFonts w:ascii="BrowalliaUPC" w:hAnsi="BrowalliaUPC" w:cs="BrowalliaUPC"/>
          <w:sz w:val="32"/>
          <w:szCs w:val="32"/>
          <w:cs/>
        </w:rPr>
        <w:t>และราคาเนื้อก๊าซที่ส่งผ่านท่อก๊าซในตลาดภูมิภาคอเมริกาเหนือที่ยังไม่ได้รวมค่าเปลี่ยนสถานะก๊าซเป็นของเหลวและค่าขนส่ง (</w:t>
      </w:r>
      <w:r w:rsidRPr="001C3AC4">
        <w:rPr>
          <w:rFonts w:ascii="BrowalliaUPC" w:hAnsi="BrowalliaUPC" w:cs="BrowalliaUPC"/>
          <w:sz w:val="32"/>
          <w:szCs w:val="32"/>
        </w:rPr>
        <w:t xml:space="preserve">Henry Hub: HH) </w:t>
      </w:r>
      <w:r w:rsidRPr="001C3AC4">
        <w:rPr>
          <w:rFonts w:ascii="BrowalliaUPC" w:hAnsi="BrowalliaUPC" w:cs="BrowalliaUPC"/>
          <w:sz w:val="32"/>
          <w:szCs w:val="32"/>
          <w:cs/>
        </w:rPr>
        <w:t>โดยแต่ละสัญญามีรูปแบบการกำหนดราคาแตกต่างกัน ขึ้นอยู่กับการเจรจารายละเอียดสัญญากับแต่ละบริษัท ซึ่งมีทั้ง</w:t>
      </w:r>
      <w:r w:rsidRPr="001C3AC4">
        <w:rPr>
          <w:rFonts w:ascii="BrowalliaUPC" w:hAnsi="BrowalliaUPC" w:cs="BrowalliaUPC"/>
          <w:sz w:val="32"/>
          <w:szCs w:val="32"/>
          <w:cs/>
        </w:rPr>
        <w:lastRenderedPageBreak/>
        <w:t xml:space="preserve">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Oil-linked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ทั้งนี้ เมื่อเปรียบเทียบราคารายเดือนของ </w:t>
      </w:r>
      <w:r w:rsidRPr="001C3AC4">
        <w:rPr>
          <w:rFonts w:ascii="BrowalliaUPC" w:hAnsi="BrowalliaUPC" w:cs="BrowalliaUPC"/>
          <w:sz w:val="32"/>
          <w:szCs w:val="32"/>
        </w:rPr>
        <w:t xml:space="preserve">JCC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1C3AC4">
        <w:rPr>
          <w:rFonts w:ascii="BrowalliaUPC" w:hAnsi="BrowalliaUPC" w:cs="BrowalliaUPC"/>
          <w:sz w:val="32"/>
          <w:szCs w:val="32"/>
        </w:rPr>
        <w:t xml:space="preserve">HH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ย้อนหลัง พบว่า สัญญาของ ปตท. กับบริษัท </w:t>
      </w:r>
      <w:r w:rsidRPr="001C3AC4">
        <w:rPr>
          <w:rFonts w:ascii="BrowalliaUPC" w:hAnsi="BrowalliaUPC" w:cs="BrowalliaUPC"/>
          <w:sz w:val="32"/>
          <w:szCs w:val="32"/>
        </w:rPr>
        <w:t xml:space="preserve">Qatar Gas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จะมีราคาสูงกว่าสัญญาฉบับอื่นอย่างชัดเจน โดยเฉพาะกรณีที่ดัชนี </w:t>
      </w:r>
      <w:r w:rsidRPr="001C3AC4">
        <w:rPr>
          <w:rFonts w:ascii="BrowalliaUPC" w:hAnsi="BrowalliaUPC" w:cs="BrowalliaUPC"/>
          <w:sz w:val="32"/>
          <w:szCs w:val="32"/>
        </w:rPr>
        <w:t xml:space="preserve">JCC </w:t>
      </w:r>
      <w:r w:rsidRPr="001C3AC4">
        <w:rPr>
          <w:rFonts w:ascii="BrowalliaUPC" w:hAnsi="BrowalliaUPC" w:cs="BrowalliaUPC"/>
          <w:sz w:val="32"/>
          <w:szCs w:val="32"/>
          <w:cs/>
        </w:rPr>
        <w:t>มีราคาสูงกว่าจุดหักมุม (</w:t>
      </w:r>
      <w:r w:rsidRPr="001C3AC4">
        <w:rPr>
          <w:rFonts w:ascii="BrowalliaUPC" w:hAnsi="BrowalliaUPC" w:cs="BrowalliaUPC"/>
          <w:sz w:val="32"/>
          <w:szCs w:val="32"/>
        </w:rPr>
        <w:t xml:space="preserve">kink point)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ที่ 70 ถึง 77 เหรียญสหรัฐฯ ต่อล้านบีทียู แต่กรณีที่ราคาดัชนี </w:t>
      </w:r>
      <w:r w:rsidRPr="001C3AC4">
        <w:rPr>
          <w:rFonts w:ascii="BrowalliaUPC" w:hAnsi="BrowalliaUPC" w:cs="BrowalliaUPC"/>
          <w:sz w:val="32"/>
          <w:szCs w:val="32"/>
        </w:rPr>
        <w:t xml:space="preserve">JCC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ต่ำกว่าจุด </w:t>
      </w:r>
      <w:r w:rsidRPr="001C3AC4">
        <w:rPr>
          <w:rFonts w:ascii="BrowalliaUPC" w:hAnsi="BrowalliaUPC" w:cs="BrowalliaUPC"/>
          <w:sz w:val="32"/>
          <w:szCs w:val="32"/>
        </w:rPr>
        <w:t xml:space="preserve">kink point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ราคาของสัญญาที่อ้างอิงราคาน้ำมัน และสัญญาในรูปแบบ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ซึ่งอ้างอิงทั้งราคาก๊าซและน้ำมันและมีจุดหักมุม จะไม่แตกต่างกันมากนักเนื่องจากไม่มีการนำดัชนี </w:t>
      </w:r>
      <w:r w:rsidRPr="001C3AC4">
        <w:rPr>
          <w:rFonts w:ascii="BrowalliaUPC" w:hAnsi="BrowalliaUPC" w:cs="BrowalliaUPC"/>
          <w:sz w:val="32"/>
          <w:szCs w:val="32"/>
        </w:rPr>
        <w:t xml:space="preserve">HH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ถ่วงน้ำหนัก ดังนั้นการนำดัชนี </w:t>
      </w:r>
      <w:r w:rsidRPr="001C3AC4">
        <w:rPr>
          <w:rFonts w:ascii="BrowalliaUPC" w:hAnsi="BrowalliaUPC" w:cs="BrowalliaUPC"/>
          <w:sz w:val="32"/>
          <w:szCs w:val="32"/>
        </w:rPr>
        <w:t xml:space="preserve">HH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ถ่วงน้ำหนักสามารถช่วยลดความผันผวนของราคาได้เมื่อราคาน้ำมันสูงกว่าจุด </w:t>
      </w:r>
      <w:r w:rsidRPr="001C3AC4">
        <w:rPr>
          <w:rFonts w:ascii="BrowalliaUPC" w:hAnsi="BrowalliaUPC" w:cs="BrowalliaUPC"/>
          <w:sz w:val="32"/>
          <w:szCs w:val="32"/>
        </w:rPr>
        <w:t>kink point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    3. ประเทศไทยสามารถพิจารณากำหนดรูปแบบสมการในการกำหนดหลักเกณฑ์ราคา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>ได้ 3 รูปแบบ ได้แก่ (1) สมการในรูปแบบเส้นตรงที่อ้างอิงราคาน้ำมัน (</w:t>
      </w:r>
      <w:r w:rsidRPr="001C3AC4">
        <w:rPr>
          <w:rFonts w:ascii="BrowalliaUPC" w:hAnsi="BrowalliaUPC" w:cs="BrowalliaUPC"/>
          <w:sz w:val="32"/>
          <w:szCs w:val="32"/>
        </w:rPr>
        <w:t>Oil linked linear formula) (</w:t>
      </w:r>
      <w:r w:rsidRPr="001C3AC4">
        <w:rPr>
          <w:rFonts w:ascii="BrowalliaUPC" w:hAnsi="BrowalliaUPC" w:cs="BrowalliaUPC"/>
          <w:sz w:val="32"/>
          <w:szCs w:val="32"/>
          <w:cs/>
        </w:rPr>
        <w:t>2) สมการในรูปแบบเส้นตรงที่อ้างอิงราคาก๊าซธรรมชาติ (</w:t>
      </w:r>
      <w:r w:rsidRPr="001C3AC4">
        <w:rPr>
          <w:rFonts w:ascii="BrowalliaUPC" w:hAnsi="BrowalliaUPC" w:cs="BrowalliaUPC"/>
          <w:sz w:val="32"/>
          <w:szCs w:val="32"/>
        </w:rPr>
        <w:t xml:space="preserve">Gas linked linear formula)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(3) สมการในรูปแบบ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>ซึ่งอ้างอิงทั้งราคาน้ำมันและก๊าซธรรมชาติ และมีจุดหักมุม (</w:t>
      </w:r>
      <w:r w:rsidRPr="001C3AC4">
        <w:rPr>
          <w:rFonts w:ascii="BrowalliaUPC" w:hAnsi="BrowalliaUPC" w:cs="BrowalliaUPC"/>
          <w:sz w:val="32"/>
          <w:szCs w:val="32"/>
        </w:rPr>
        <w:t xml:space="preserve">Hybrid oil gas linked formula with a kink point)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โดยจากการวิเคราะห์ข้อดีและข้อเสียของสมการดังกล่าวพบว่า สมการรูปแบบเส้นตรงที่อ้างอิงราคาน้ำมัน มีการใช้งานอย่างแพร่หลายและเป็นที่ยอมรับของผู้นำเข้าและผู้ส่งออก แต่ไม่ได้สะท้อนตลาดของก๊าซตามหลัก </w:t>
      </w:r>
      <w:r w:rsidRPr="001C3AC4">
        <w:rPr>
          <w:rFonts w:ascii="BrowalliaUPC" w:hAnsi="BrowalliaUPC" w:cs="BrowalliaUPC"/>
          <w:sz w:val="32"/>
          <w:szCs w:val="32"/>
        </w:rPr>
        <w:t xml:space="preserve">Demand - Supply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สมการรูปแบบเส้นตรงที่อ้างอิงราคาก๊าซธรรมชาติ เป็นการกำหนดราคา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ที่สะท้อน </w:t>
      </w:r>
      <w:r w:rsidRPr="001C3AC4">
        <w:rPr>
          <w:rFonts w:ascii="BrowalliaUPC" w:hAnsi="BrowalliaUPC" w:cs="BrowalliaUPC"/>
          <w:sz w:val="32"/>
          <w:szCs w:val="32"/>
        </w:rPr>
        <w:t xml:space="preserve">Demand - Supply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ในตลาดก๊าซธรรมชาติ แต่มีราคาผันผวนเนื่องจากผู้ส่งออกที่ใช้สมการดังกล่าวส่วนใหญ่อยู่ในทวีปอเมริกาซึ่งมีจำนวนน้อยกว่าแหล่งผลิตอื่น ๆ ส่วนสมการรูปแบบ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เป็นรูปแบบที่สามารถบริหารความเสี่ยงระหว่างราคาน้ำมันและราคาก๊าซธรรมชาติได้ดี ทั้งนี้ การประกาศหลักเกณฑ์ทางเลือกการกำหนดราคา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ของประเทศไทยเป็นการประกาศในลักษณะ (1) เป็น </w:t>
      </w:r>
      <w:r w:rsidRPr="001C3AC4">
        <w:rPr>
          <w:rFonts w:ascii="BrowalliaUPC" w:hAnsi="BrowalliaUPC" w:cs="BrowalliaUPC"/>
          <w:sz w:val="32"/>
          <w:szCs w:val="32"/>
        </w:rPr>
        <w:t xml:space="preserve">Guideline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1C3AC4">
        <w:rPr>
          <w:rFonts w:ascii="BrowalliaUPC" w:hAnsi="BrowalliaUPC" w:cs="BrowalliaUPC"/>
          <w:sz w:val="32"/>
          <w:szCs w:val="32"/>
        </w:rPr>
        <w:t xml:space="preserve">Shippers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ในการจัดหาสัญญาเพื่อนำมาเสนอหน่วยงานที่มีอำนาจพิจารณา (2) เป็น </w:t>
      </w:r>
      <w:r w:rsidRPr="001C3AC4">
        <w:rPr>
          <w:rFonts w:ascii="BrowalliaUPC" w:hAnsi="BrowalliaUPC" w:cs="BrowalliaUPC"/>
          <w:sz w:val="32"/>
          <w:szCs w:val="32"/>
        </w:rPr>
        <w:t xml:space="preserve">Upper Limit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ของ </w:t>
      </w:r>
      <w:r w:rsidRPr="001C3AC4">
        <w:rPr>
          <w:rFonts w:ascii="BrowalliaUPC" w:hAnsi="BrowalliaUPC" w:cs="BrowalliaUPC"/>
          <w:sz w:val="32"/>
          <w:szCs w:val="32"/>
        </w:rPr>
        <w:t xml:space="preserve">slopes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ในสูตรการจัดหา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 </w:t>
      </w:r>
      <w:r w:rsidRPr="001C3AC4">
        <w:rPr>
          <w:rFonts w:ascii="BrowalliaUPC" w:hAnsi="BrowalliaUPC" w:cs="BrowalliaUPC"/>
          <w:sz w:val="32"/>
          <w:szCs w:val="32"/>
        </w:rPr>
        <w:t xml:space="preserve">Shippers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ต้องเสนอ </w:t>
      </w:r>
      <w:r w:rsidRPr="001C3AC4">
        <w:rPr>
          <w:rFonts w:ascii="BrowalliaUPC" w:hAnsi="BrowalliaUPC" w:cs="BrowalliaUPC"/>
          <w:sz w:val="32"/>
          <w:szCs w:val="32"/>
        </w:rPr>
        <w:t xml:space="preserve">slopes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ในสัญญาที่ต่ำกว่า (3) สามารถจัดหาได้ทั้ง 3 รูปแบบ คือ </w:t>
      </w:r>
      <w:r w:rsidRPr="001C3AC4">
        <w:rPr>
          <w:rFonts w:ascii="BrowalliaUPC" w:hAnsi="BrowalliaUPC" w:cs="BrowalliaUPC"/>
          <w:sz w:val="32"/>
          <w:szCs w:val="32"/>
        </w:rPr>
        <w:t xml:space="preserve">Oil-Linked Gas-Linked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1C3AC4">
        <w:rPr>
          <w:rFonts w:ascii="BrowalliaUPC" w:hAnsi="BrowalliaUPC" w:cs="BrowalliaUPC"/>
          <w:sz w:val="32"/>
          <w:szCs w:val="32"/>
        </w:rPr>
        <w:t>Hybrid (</w:t>
      </w:r>
      <w:r w:rsidRPr="001C3AC4">
        <w:rPr>
          <w:rFonts w:ascii="BrowalliaUPC" w:hAnsi="BrowalliaUPC" w:cs="BrowalliaUPC"/>
          <w:sz w:val="32"/>
          <w:szCs w:val="32"/>
          <w:cs/>
        </w:rPr>
        <w:t>4) ระยะเวลาในการประกาศใช้ คือ 12 เดือน และอาจมีแก้ไข (</w:t>
      </w:r>
      <w:r w:rsidRPr="001C3AC4">
        <w:rPr>
          <w:rFonts w:ascii="BrowalliaUPC" w:hAnsi="BrowalliaUPC" w:cs="BrowalliaUPC"/>
          <w:sz w:val="32"/>
          <w:szCs w:val="32"/>
        </w:rPr>
        <w:t xml:space="preserve">revision)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หากสถานการณ์มีการเปลี่ยนแปลงจนกระทบต่อการเจรจาจัดหา (5) มีการเปิด เงื่อนไข </w:t>
      </w:r>
      <w:r w:rsidRPr="001C3AC4">
        <w:rPr>
          <w:rFonts w:ascii="BrowalliaUPC" w:hAnsi="BrowalliaUPC" w:cs="BrowalliaUPC"/>
          <w:sz w:val="32"/>
          <w:szCs w:val="32"/>
        </w:rPr>
        <w:t xml:space="preserve">take or pay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ที่ยืดหยุ่นเพื่อประกอบการพิจารณา และ (6) หลีกเลี่ยงการประกาศหลักเกณฑ์การนำเข้า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ที่มีรายละเอียดทั้งหมดสู่สาธารณะ เนื่องจากอาจมีผลกระทบต่อการเจรจากับผู้ค้าทำให้สูญเสียอำนาจการต่อรองได้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    4. เมื่อวันที่ 24 พฤศจิกายน 2564 กกพ. ได้พิจารณาหลักเกณฑ์ราคา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เป็น 3 รูปแบบ โดยมีความเห็นให้ </w:t>
      </w:r>
      <w:r w:rsidRPr="001C3AC4">
        <w:rPr>
          <w:rFonts w:ascii="BrowalliaUPC" w:hAnsi="BrowalliaUPC" w:cs="BrowalliaUPC"/>
          <w:sz w:val="32"/>
          <w:szCs w:val="32"/>
        </w:rPr>
        <w:t xml:space="preserve">Shipper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พิจารณาจัดหาสัญญาระยะกลางและสัญญาระยะยาวให้เหมาะสมกับโรงไฟฟ้าของตน เพื่อลดผลกระทบต่อค่าไฟฟ้าให้น้อยที่สุด และเป็นไปตามแนวทางการส่งเสริมการแข่งขันในกิจการก๊าซธรรมชาติ ระยะที่ 2 และเมื่อวันที่ 22 ธันวาคม </w:t>
      </w:r>
      <w:r w:rsidRPr="001C3AC4">
        <w:rPr>
          <w:rFonts w:ascii="BrowalliaUPC" w:hAnsi="BrowalliaUPC" w:cs="BrowalliaUPC"/>
          <w:sz w:val="32"/>
          <w:szCs w:val="32"/>
          <w:cs/>
        </w:rPr>
        <w:lastRenderedPageBreak/>
        <w:t xml:space="preserve">2564 กกพ. ได้ปรับปรุงหลักเกณฑ์ราคา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โดยมีรายละเอียด ดังนี้ (1) สมการในรูปแบบเส้นตรงที่อ้างอิงราคาน้ำมัน โดยอ้างอิงราคาน้ำมันดิบ </w:t>
      </w:r>
      <w:r w:rsidRPr="001C3AC4">
        <w:rPr>
          <w:rFonts w:ascii="BrowalliaUPC" w:hAnsi="BrowalliaUPC" w:cs="BrowalliaUPC"/>
          <w:sz w:val="32"/>
          <w:szCs w:val="32"/>
        </w:rPr>
        <w:t xml:space="preserve">Brent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JCC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A x [Oil Marker] + B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โดยเป็น </w:t>
      </w:r>
      <w:r w:rsidRPr="001C3AC4">
        <w:rPr>
          <w:rFonts w:ascii="BrowalliaUPC" w:hAnsi="BrowalliaUPC" w:cs="BrowalliaUPC"/>
          <w:sz w:val="32"/>
          <w:szCs w:val="32"/>
        </w:rPr>
        <w:t xml:space="preserve">Linear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>S-Curve (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2) สมการในรูปแบบเส้นตรงที่อ้างอิงราคาก๊าซธรรมชาติ โดยอ้างอิงราคาก๊าซธรรมชาติ </w:t>
      </w:r>
      <w:r w:rsidRPr="001C3AC4">
        <w:rPr>
          <w:rFonts w:ascii="BrowalliaUPC" w:hAnsi="BrowalliaUPC" w:cs="BrowalliaUPC"/>
          <w:sz w:val="32"/>
          <w:szCs w:val="32"/>
        </w:rPr>
        <w:t xml:space="preserve">HH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C x HH + 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โดยเป็น </w:t>
      </w:r>
      <w:r w:rsidRPr="001C3AC4">
        <w:rPr>
          <w:rFonts w:ascii="BrowalliaUPC" w:hAnsi="BrowalliaUPC" w:cs="BrowalliaUPC"/>
          <w:sz w:val="32"/>
          <w:szCs w:val="32"/>
        </w:rPr>
        <w:t xml:space="preserve">Linear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S-Curve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(3) สมการในรูปแบบ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 และมีจุดหักมุม คือ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A x [Oil Marker] + B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กรณี </w:t>
      </w:r>
      <w:r w:rsidRPr="001C3AC4">
        <w:rPr>
          <w:rFonts w:ascii="BrowalliaUPC" w:hAnsi="BrowalliaUPC" w:cs="BrowalliaUPC"/>
          <w:sz w:val="32"/>
          <w:szCs w:val="32"/>
        </w:rPr>
        <w:t xml:space="preserve">Oil Marker </w:t>
      </w:r>
      <w:r w:rsidRPr="001C3AC4">
        <w:rPr>
          <w:rFonts w:ascii="BrowalliaUPC" w:hAnsi="BrowalliaUPC" w:cs="BrowalliaUPC"/>
          <w:sz w:val="32"/>
          <w:szCs w:val="32"/>
        </w:rPr>
        <w:t xml:space="preserve"> </w:t>
      </w:r>
      <w:r w:rsidRPr="001C3AC4">
        <w:rPr>
          <w:rFonts w:ascii="BrowalliaUPC" w:hAnsi="BrowalliaUPC" w:cs="BrowalliaUPC"/>
          <w:sz w:val="32"/>
          <w:szCs w:val="32"/>
          <w:cs/>
        </w:rPr>
        <w:t>70</w:t>
      </w:r>
      <w:r w:rsidRPr="001C3AC4">
        <w:rPr>
          <w:rFonts w:ascii="BrowalliaUPC" w:hAnsi="BrowalliaUPC" w:cs="BrowalliaUPC"/>
          <w:sz w:val="32"/>
          <w:szCs w:val="32"/>
        </w:rPr>
        <w:t xml:space="preserve"> $/barrel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</w:t>
      </w:r>
      <w:r w:rsidRPr="001C3AC4">
        <w:rPr>
          <w:rFonts w:ascii="BrowalliaUPC" w:hAnsi="BrowalliaUPC" w:cs="BrowalliaUPC"/>
          <w:sz w:val="32"/>
          <w:szCs w:val="32"/>
          <w:cs/>
        </w:rPr>
        <w:t>50%(</w:t>
      </w:r>
      <w:r w:rsidRPr="001C3AC4">
        <w:rPr>
          <w:rFonts w:ascii="BrowalliaUPC" w:hAnsi="BrowalliaUPC" w:cs="BrowalliaUPC"/>
          <w:sz w:val="32"/>
          <w:szCs w:val="32"/>
        </w:rPr>
        <w:t xml:space="preserve">A x [Oil Marker] + B) + </w:t>
      </w:r>
      <w:r w:rsidRPr="001C3AC4">
        <w:rPr>
          <w:rFonts w:ascii="BrowalliaUPC" w:hAnsi="BrowalliaUPC" w:cs="BrowalliaUPC"/>
          <w:sz w:val="32"/>
          <w:szCs w:val="32"/>
          <w:cs/>
        </w:rPr>
        <w:t>50%(</w:t>
      </w:r>
      <w:r w:rsidRPr="001C3AC4">
        <w:rPr>
          <w:rFonts w:ascii="BrowalliaUPC" w:hAnsi="BrowalliaUPC" w:cs="BrowalliaUPC"/>
          <w:sz w:val="32"/>
          <w:szCs w:val="32"/>
        </w:rPr>
        <w:t xml:space="preserve">C x HH + D)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กรณี </w:t>
      </w:r>
      <w:r w:rsidRPr="001C3AC4">
        <w:rPr>
          <w:rFonts w:ascii="BrowalliaUPC" w:hAnsi="BrowalliaUPC" w:cs="BrowalliaUPC"/>
          <w:sz w:val="32"/>
          <w:szCs w:val="32"/>
        </w:rPr>
        <w:t xml:space="preserve">Oil Marker &gt; </w:t>
      </w:r>
      <w:r w:rsidRPr="001C3AC4">
        <w:rPr>
          <w:rFonts w:ascii="BrowalliaUPC" w:hAnsi="BrowalliaUPC" w:cs="BrowalliaUPC"/>
          <w:sz w:val="32"/>
          <w:szCs w:val="32"/>
          <w:cs/>
        </w:rPr>
        <w:t>70$/</w:t>
      </w:r>
      <w:r w:rsidRPr="001C3AC4">
        <w:rPr>
          <w:rFonts w:ascii="BrowalliaUPC" w:hAnsi="BrowalliaUPC" w:cs="BrowalliaUPC"/>
          <w:sz w:val="32"/>
          <w:szCs w:val="32"/>
        </w:rPr>
        <w:t xml:space="preserve">barrel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โดยมีเงื่อนไข ดังนี้ (1) การทำสัญญาเป็นแบบ </w:t>
      </w:r>
      <w:r w:rsidRPr="001C3AC4">
        <w:rPr>
          <w:rFonts w:ascii="BrowalliaUPC" w:hAnsi="BrowalliaUPC" w:cs="BrowalliaUPC"/>
          <w:sz w:val="32"/>
          <w:szCs w:val="32"/>
        </w:rPr>
        <w:t xml:space="preserve">Sales &amp; Purchase Agreement (SPA) </w:t>
      </w:r>
      <w:r w:rsidRPr="001C3AC4">
        <w:rPr>
          <w:rFonts w:ascii="BrowalliaUPC" w:hAnsi="BrowalliaUPC" w:cs="BrowalliaUPC"/>
          <w:sz w:val="32"/>
          <w:szCs w:val="32"/>
          <w:cs/>
        </w:rPr>
        <w:t>ในระยะสัญญาระยะกลาง-ระยะยาวที่เหมาะสม โดยหมายถึงระยะเวลาสัญญามากกว่า 5 ปีขึ้นไป (2) ระยะเวลาในการประกาศใช้ คือ 12 เดือน และอาจมีแก้ไข (</w:t>
      </w:r>
      <w:r w:rsidRPr="001C3AC4">
        <w:rPr>
          <w:rFonts w:ascii="BrowalliaUPC" w:hAnsi="BrowalliaUPC" w:cs="BrowalliaUPC"/>
          <w:sz w:val="32"/>
          <w:szCs w:val="32"/>
        </w:rPr>
        <w:t xml:space="preserve">revision)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หากสถานการณ์มีการเปลี่ยนแปลงจนกระทบต่อการเจรจาจัดหา (3) ผู้นำเข้าจะต้องมีการเปิดเงื่อนไข </w:t>
      </w:r>
      <w:r w:rsidRPr="001C3AC4">
        <w:rPr>
          <w:rFonts w:ascii="BrowalliaUPC" w:hAnsi="BrowalliaUPC" w:cs="BrowalliaUPC"/>
          <w:sz w:val="32"/>
          <w:szCs w:val="32"/>
        </w:rPr>
        <w:t xml:space="preserve">take-or-pay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ที่ยืดหยุ่นเพื่อประกอบการพิจารณา และ (4) เนื่องจากตลาด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ในระยะนี้มีความผันผวนและมีแนวโน้มเข้าสู่ภาวะตลาดของผู้ขาย (</w:t>
      </w:r>
      <w:r w:rsidRPr="001C3AC4">
        <w:rPr>
          <w:rFonts w:ascii="BrowalliaUPC" w:hAnsi="BrowalliaUPC" w:cs="BrowalliaUPC"/>
          <w:sz w:val="32"/>
          <w:szCs w:val="32"/>
        </w:rPr>
        <w:t xml:space="preserve">Seller’s Market)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หากไม่สามารถจัดหา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โดยหลักเกณฑ์ราคานำเข้าดังกล่าวได้ ให้นำเสนอหลักเกณฑ์ราคาที่ดีที่สุดเพื่อให้พิจารณา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    5. เมื่อวันที่ 30 พฤศจิกายน 2564 สนพ. และสำนักงาน กกพ. ได้นำเสนอคณะอนุกรรมการพิจารณาแนวทางการส่งเสริมการแข่งขันในกิจการก๊าซธรรมชาติ ระยะที่ 2 เพื่อพิจารณาหลักเกณฑ์ราคา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เป็น 3 รูปแบบ ได้แก่ สมการในรูปแบบเส้นตรงที่อ้างอิงราคาน้ำมัน สมการในรูปแบบเส้นตรงที่อ้างอิงราคาก๊าซธรรมชาติ และสมการในรูปแบบ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 และมีจุดหักมุม โดยคณะอนุกรรมการฯ ได้มีมติเห็นชอบในหลักการการกำหนดหลักเกณฑ์ราคา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โดยมอบหมายให้สำนักงาน กกพ. กำกับดูแลและพิจารณาในรายละเอียดหลักเกณฑ์ราคา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 </w:t>
      </w:r>
      <w:r w:rsidRPr="001C3AC4">
        <w:rPr>
          <w:rFonts w:ascii="BrowalliaUPC" w:hAnsi="BrowalliaUPC" w:cs="BrowalliaUPC"/>
          <w:sz w:val="32"/>
          <w:szCs w:val="32"/>
          <w:cs/>
        </w:rPr>
        <w:t>และมอบหมายให้ สนพ. นำเสนอ กบง. พิจารณาต่อไป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    6. ฝ่ายเลขานุการฯ ได้มีข้อเสนอการกำหนดหลักเกณฑ์ราคา </w:t>
      </w:r>
      <w:r w:rsidRPr="001C3AC4">
        <w:rPr>
          <w:rFonts w:ascii="BrowalliaUPC" w:hAnsi="BrowalliaUPC" w:cs="BrowalliaUPC"/>
          <w:sz w:val="32"/>
          <w:szCs w:val="32"/>
        </w:rPr>
        <w:t xml:space="preserve">LNG Benchmark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สำหรับสัญญาระยะยาวและ/หรือสัญญาระยะกลาง โดยมีรายละเอียด ดังนี้ (1) สมการในรูปแบบเส้นตรงที่อ้างอิงราคาน้ำมัน โดยอ้างอิงราคาน้ำมันดิบ </w:t>
      </w:r>
      <w:r w:rsidRPr="001C3AC4">
        <w:rPr>
          <w:rFonts w:ascii="BrowalliaUPC" w:hAnsi="BrowalliaUPC" w:cs="BrowalliaUPC"/>
          <w:sz w:val="32"/>
          <w:szCs w:val="32"/>
        </w:rPr>
        <w:t xml:space="preserve">Brent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JCC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A x [Oil Marker] + B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โดยเป็น </w:t>
      </w:r>
      <w:r w:rsidRPr="001C3AC4">
        <w:rPr>
          <w:rFonts w:ascii="BrowalliaUPC" w:hAnsi="BrowalliaUPC" w:cs="BrowalliaUPC"/>
          <w:sz w:val="32"/>
          <w:szCs w:val="32"/>
        </w:rPr>
        <w:t xml:space="preserve">Linear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>S-Curve (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2) สมการในรูปแบบเส้นตรงที่อ้างอิงราคาก๊าซธรรมชาติ โดยอ้างอิงราคาก๊าซธรรมชาติ </w:t>
      </w:r>
      <w:r w:rsidRPr="001C3AC4">
        <w:rPr>
          <w:rFonts w:ascii="BrowalliaUPC" w:hAnsi="BrowalliaUPC" w:cs="BrowalliaUPC"/>
          <w:sz w:val="32"/>
          <w:szCs w:val="32"/>
        </w:rPr>
        <w:t xml:space="preserve">HH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C x HH + 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โดยเป็น </w:t>
      </w:r>
      <w:r w:rsidRPr="001C3AC4">
        <w:rPr>
          <w:rFonts w:ascii="BrowalliaUPC" w:hAnsi="BrowalliaUPC" w:cs="BrowalliaUPC"/>
          <w:sz w:val="32"/>
          <w:szCs w:val="32"/>
        </w:rPr>
        <w:t xml:space="preserve">Linear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S-Curve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(3) สมการในรูปแบบ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ซึ่งอ้างอิงทั้งราคาน้ำมันและก๊าซธรรมชาติ และมีจุดหักมุม คือ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A x [Oil Marker] + B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กรณี </w:t>
      </w:r>
      <w:r w:rsidRPr="001C3AC4">
        <w:rPr>
          <w:rFonts w:ascii="BrowalliaUPC" w:hAnsi="BrowalliaUPC" w:cs="BrowalliaUPC"/>
          <w:sz w:val="32"/>
          <w:szCs w:val="32"/>
        </w:rPr>
        <w:t xml:space="preserve">Oil Marker </w:t>
      </w:r>
      <w:r w:rsidRPr="001C3AC4">
        <w:rPr>
          <w:rFonts w:ascii="BrowalliaUPC" w:hAnsi="BrowalliaUPC" w:cs="BrowalliaUPC"/>
          <w:sz w:val="32"/>
          <w:szCs w:val="32"/>
        </w:rPr>
        <w:t xml:space="preserve"> </w:t>
      </w:r>
      <w:r w:rsidRPr="001C3AC4">
        <w:rPr>
          <w:rFonts w:ascii="BrowalliaUPC" w:hAnsi="BrowalliaUPC" w:cs="BrowalliaUPC"/>
          <w:sz w:val="32"/>
          <w:szCs w:val="32"/>
          <w:cs/>
        </w:rPr>
        <w:t>70</w:t>
      </w:r>
      <w:r w:rsidRPr="001C3AC4">
        <w:rPr>
          <w:rFonts w:ascii="BrowalliaUPC" w:hAnsi="BrowalliaUPC" w:cs="BrowalliaUPC"/>
          <w:sz w:val="32"/>
          <w:szCs w:val="32"/>
        </w:rPr>
        <w:t xml:space="preserve"> $/barrel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PLNG = </w:t>
      </w:r>
      <w:r w:rsidRPr="001C3AC4">
        <w:rPr>
          <w:rFonts w:ascii="BrowalliaUPC" w:hAnsi="BrowalliaUPC" w:cs="BrowalliaUPC"/>
          <w:sz w:val="32"/>
          <w:szCs w:val="32"/>
          <w:cs/>
        </w:rPr>
        <w:t>50%(</w:t>
      </w:r>
      <w:r w:rsidRPr="001C3AC4">
        <w:rPr>
          <w:rFonts w:ascii="BrowalliaUPC" w:hAnsi="BrowalliaUPC" w:cs="BrowalliaUPC"/>
          <w:sz w:val="32"/>
          <w:szCs w:val="32"/>
        </w:rPr>
        <w:t xml:space="preserve">A x [Oil Marker] + B) + </w:t>
      </w:r>
      <w:r w:rsidRPr="001C3AC4">
        <w:rPr>
          <w:rFonts w:ascii="BrowalliaUPC" w:hAnsi="BrowalliaUPC" w:cs="BrowalliaUPC"/>
          <w:sz w:val="32"/>
          <w:szCs w:val="32"/>
          <w:cs/>
        </w:rPr>
        <w:t>50%(</w:t>
      </w:r>
      <w:r w:rsidRPr="001C3AC4">
        <w:rPr>
          <w:rFonts w:ascii="BrowalliaUPC" w:hAnsi="BrowalliaUPC" w:cs="BrowalliaUPC"/>
          <w:sz w:val="32"/>
          <w:szCs w:val="32"/>
        </w:rPr>
        <w:t xml:space="preserve">C x HH + D)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กรณี </w:t>
      </w:r>
      <w:r w:rsidRPr="001C3AC4">
        <w:rPr>
          <w:rFonts w:ascii="BrowalliaUPC" w:hAnsi="BrowalliaUPC" w:cs="BrowalliaUPC"/>
          <w:sz w:val="32"/>
          <w:szCs w:val="32"/>
        </w:rPr>
        <w:t xml:space="preserve">Oil Marker &gt; </w:t>
      </w:r>
      <w:r w:rsidRPr="001C3AC4">
        <w:rPr>
          <w:rFonts w:ascii="BrowalliaUPC" w:hAnsi="BrowalliaUPC" w:cs="BrowalliaUPC"/>
          <w:sz w:val="32"/>
          <w:szCs w:val="32"/>
          <w:cs/>
        </w:rPr>
        <w:t>70$/</w:t>
      </w:r>
      <w:r w:rsidRPr="001C3AC4">
        <w:rPr>
          <w:rFonts w:ascii="BrowalliaUPC" w:hAnsi="BrowalliaUPC" w:cs="BrowalliaUPC"/>
          <w:sz w:val="32"/>
          <w:szCs w:val="32"/>
        </w:rPr>
        <w:t>barrel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 </w:t>
      </w:r>
      <w:r w:rsidRPr="001C3AC4">
        <w:rPr>
          <w:rFonts w:ascii="BrowalliaUPC" w:hAnsi="BrowalliaUPC" w:cs="BrowalliaUPC"/>
          <w:sz w:val="32"/>
          <w:szCs w:val="32"/>
        </w:rPr>
        <w:t xml:space="preserve">PLNG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ราคานำเข้า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มีหน่วยเป็น ดอลลาร์สหรัฐต่อล้านบีทียู </w:t>
      </w:r>
      <w:r w:rsidRPr="001C3AC4">
        <w:rPr>
          <w:rFonts w:ascii="BrowalliaUPC" w:hAnsi="BrowalliaUPC" w:cs="BrowalliaUPC"/>
          <w:sz w:val="32"/>
          <w:szCs w:val="32"/>
        </w:rPr>
        <w:t xml:space="preserve">A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1C3AC4">
        <w:rPr>
          <w:rFonts w:ascii="BrowalliaUPC" w:hAnsi="BrowalliaUPC" w:cs="BrowalliaUPC"/>
          <w:sz w:val="32"/>
          <w:szCs w:val="32"/>
        </w:rPr>
        <w:t xml:space="preserve">Oil Marker Slopes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สำหรับปี 2565 ไม่เกิน </w:t>
      </w:r>
      <w:r w:rsidRPr="001C3AC4">
        <w:rPr>
          <w:rFonts w:ascii="BrowalliaUPC" w:hAnsi="BrowalliaUPC" w:cs="BrowalliaUPC"/>
          <w:sz w:val="32"/>
          <w:szCs w:val="32"/>
        </w:rPr>
        <w:t xml:space="preserve">xxx Oil Marker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ดัชนี </w:t>
      </w:r>
      <w:r w:rsidRPr="001C3AC4">
        <w:rPr>
          <w:rFonts w:ascii="BrowalliaUPC" w:hAnsi="BrowalliaUPC" w:cs="BrowalliaUPC"/>
          <w:sz w:val="32"/>
          <w:szCs w:val="32"/>
        </w:rPr>
        <w:lastRenderedPageBreak/>
        <w:t xml:space="preserve">JCC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1C3AC4">
        <w:rPr>
          <w:rFonts w:ascii="BrowalliaUPC" w:hAnsi="BrowalliaUPC" w:cs="BrowalliaUPC"/>
          <w:sz w:val="32"/>
          <w:szCs w:val="32"/>
        </w:rPr>
        <w:t xml:space="preserve">Brent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เฉลี่ยสามเดือนย้อนหลังในเดือนที่ </w:t>
      </w:r>
      <w:r w:rsidRPr="001C3AC4">
        <w:rPr>
          <w:rFonts w:ascii="BrowalliaUPC" w:hAnsi="BrowalliaUPC" w:cs="BrowalliaUPC"/>
          <w:sz w:val="32"/>
          <w:szCs w:val="32"/>
        </w:rPr>
        <w:t>n-</w:t>
      </w:r>
      <w:r w:rsidRPr="001C3AC4">
        <w:rPr>
          <w:rFonts w:ascii="BrowalliaUPC" w:hAnsi="BrowalliaUPC" w:cs="BrowalliaUPC"/>
          <w:sz w:val="32"/>
          <w:szCs w:val="32"/>
          <w:cs/>
        </w:rPr>
        <w:t>2</w:t>
      </w:r>
      <w:r w:rsidRPr="001C3AC4">
        <w:rPr>
          <w:rFonts w:ascii="BrowalliaUPC" w:hAnsi="BrowalliaUPC" w:cs="BrowalliaUPC"/>
          <w:sz w:val="32"/>
          <w:szCs w:val="32"/>
        </w:rPr>
        <w:t>, n-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3 และ </w:t>
      </w:r>
      <w:r w:rsidRPr="001C3AC4">
        <w:rPr>
          <w:rFonts w:ascii="BrowalliaUPC" w:hAnsi="BrowalliaUPC" w:cs="BrowalliaUPC"/>
          <w:sz w:val="32"/>
          <w:szCs w:val="32"/>
        </w:rPr>
        <w:t>n-</w:t>
      </w:r>
      <w:r w:rsidRPr="001C3AC4">
        <w:rPr>
          <w:rFonts w:ascii="BrowalliaUPC" w:hAnsi="BrowalliaUPC" w:cs="BrowalliaUPC"/>
          <w:sz w:val="32"/>
          <w:szCs w:val="32"/>
          <w:cs/>
        </w:rPr>
        <w:t>4</w:t>
      </w:r>
      <w:r w:rsidRPr="001C3AC4">
        <w:rPr>
          <w:rFonts w:ascii="BrowalliaUPC" w:hAnsi="BrowalliaUPC" w:cs="BrowalliaUPC"/>
          <w:sz w:val="32"/>
          <w:szCs w:val="32"/>
        </w:rPr>
        <w:t xml:space="preserve"> B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ค่าคงที่ ไม่เกิน </w:t>
      </w:r>
      <w:r w:rsidRPr="001C3AC4">
        <w:rPr>
          <w:rFonts w:ascii="BrowalliaUPC" w:hAnsi="BrowalliaUPC" w:cs="BrowalliaUPC"/>
          <w:sz w:val="32"/>
          <w:szCs w:val="32"/>
        </w:rPr>
        <w:t xml:space="preserve">xxx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มีหน่วยเป็น ดอลลาร์สหรัฐต่อล้านบีทียู ขึ้นกับการเจรจา </w:t>
      </w:r>
      <w:r w:rsidRPr="001C3AC4">
        <w:rPr>
          <w:rFonts w:ascii="BrowalliaUPC" w:hAnsi="BrowalliaUPC" w:cs="BrowalliaUPC"/>
          <w:sz w:val="32"/>
          <w:szCs w:val="32"/>
        </w:rPr>
        <w:t xml:space="preserve">HH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ดัชนี </w:t>
      </w:r>
      <w:r w:rsidRPr="001C3AC4">
        <w:rPr>
          <w:rFonts w:ascii="BrowalliaUPC" w:hAnsi="BrowalliaUPC" w:cs="BrowalliaUPC"/>
          <w:sz w:val="32"/>
          <w:szCs w:val="32"/>
        </w:rPr>
        <w:t xml:space="preserve">Henry Hub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เฉลี่ยสามเดือนย้อนหลังในเดือนที่ </w:t>
      </w:r>
      <w:r w:rsidRPr="001C3AC4">
        <w:rPr>
          <w:rFonts w:ascii="BrowalliaUPC" w:hAnsi="BrowalliaUPC" w:cs="BrowalliaUPC"/>
          <w:sz w:val="32"/>
          <w:szCs w:val="32"/>
        </w:rPr>
        <w:t>n-</w:t>
      </w:r>
      <w:r w:rsidRPr="001C3AC4">
        <w:rPr>
          <w:rFonts w:ascii="BrowalliaUPC" w:hAnsi="BrowalliaUPC" w:cs="BrowalliaUPC"/>
          <w:sz w:val="32"/>
          <w:szCs w:val="32"/>
          <w:cs/>
        </w:rPr>
        <w:t>2</w:t>
      </w:r>
      <w:r w:rsidRPr="001C3AC4">
        <w:rPr>
          <w:rFonts w:ascii="BrowalliaUPC" w:hAnsi="BrowalliaUPC" w:cs="BrowalliaUPC"/>
          <w:sz w:val="32"/>
          <w:szCs w:val="32"/>
        </w:rPr>
        <w:t>, n-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3 และ </w:t>
      </w:r>
      <w:r w:rsidRPr="001C3AC4">
        <w:rPr>
          <w:rFonts w:ascii="BrowalliaUPC" w:hAnsi="BrowalliaUPC" w:cs="BrowalliaUPC"/>
          <w:sz w:val="32"/>
          <w:szCs w:val="32"/>
        </w:rPr>
        <w:t>n-</w:t>
      </w:r>
      <w:r w:rsidRPr="001C3AC4">
        <w:rPr>
          <w:rFonts w:ascii="BrowalliaUPC" w:hAnsi="BrowalliaUPC" w:cs="BrowalliaUPC"/>
          <w:sz w:val="32"/>
          <w:szCs w:val="32"/>
          <w:cs/>
        </w:rPr>
        <w:t>4</w:t>
      </w:r>
      <w:r w:rsidRPr="001C3AC4">
        <w:rPr>
          <w:rFonts w:ascii="BrowalliaUPC" w:hAnsi="BrowalliaUPC" w:cs="BrowalliaUPC"/>
          <w:sz w:val="32"/>
          <w:szCs w:val="32"/>
        </w:rPr>
        <w:t xml:space="preserve"> C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1C3AC4">
        <w:rPr>
          <w:rFonts w:ascii="BrowalliaUPC" w:hAnsi="BrowalliaUPC" w:cs="BrowalliaUPC"/>
          <w:sz w:val="32"/>
          <w:szCs w:val="32"/>
        </w:rPr>
        <w:t xml:space="preserve">HH Factor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สำหรับปี 2565 ไม่เกิน </w:t>
      </w:r>
      <w:r w:rsidRPr="001C3AC4">
        <w:rPr>
          <w:rFonts w:ascii="BrowalliaUPC" w:hAnsi="BrowalliaUPC" w:cs="BrowalliaUPC"/>
          <w:sz w:val="32"/>
          <w:szCs w:val="32"/>
        </w:rPr>
        <w:t xml:space="preserve">xxx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1C3AC4">
        <w:rPr>
          <w:rFonts w:ascii="BrowalliaUPC" w:hAnsi="BrowalliaUPC" w:cs="BrowalliaUPC"/>
          <w:sz w:val="32"/>
          <w:szCs w:val="32"/>
        </w:rPr>
        <w:t xml:space="preserve">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คือ ค่าคงที่ ไม่เกิน </w:t>
      </w:r>
      <w:r w:rsidRPr="001C3AC4">
        <w:rPr>
          <w:rFonts w:ascii="BrowalliaUPC" w:hAnsi="BrowalliaUPC" w:cs="BrowalliaUPC"/>
          <w:sz w:val="32"/>
          <w:szCs w:val="32"/>
        </w:rPr>
        <w:t xml:space="preserve">xxx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มีหน่วยเป็น ดอลลาร์สหรัฐต่อล้านบีทียู ขึ้นกับการเจรจา โดยมีเงื่อนไข ดังนี้ (1) การทำสัญญาเป็นแบบ </w:t>
      </w:r>
      <w:r w:rsidRPr="001C3AC4">
        <w:rPr>
          <w:rFonts w:ascii="BrowalliaUPC" w:hAnsi="BrowalliaUPC" w:cs="BrowalliaUPC"/>
          <w:sz w:val="32"/>
          <w:szCs w:val="32"/>
        </w:rPr>
        <w:t xml:space="preserve">Sales &amp; Purchase Agreement (SPA) </w:t>
      </w:r>
      <w:r w:rsidRPr="001C3AC4">
        <w:rPr>
          <w:rFonts w:ascii="BrowalliaUPC" w:hAnsi="BrowalliaUPC" w:cs="BrowalliaUPC"/>
          <w:sz w:val="32"/>
          <w:szCs w:val="32"/>
          <w:cs/>
        </w:rPr>
        <w:t>ในระยะสัญญาระยะกลางและ/หรือระยะยาวที่เหมาะสม โดยหมายถึงระยะเวลาสัญญาตั้งแต่ 5 ปีขึ้นไป (2) ระยะเวลาในการประกาศใช้ คือ 12 เดือน และอาจมีแก้ไข (</w:t>
      </w:r>
      <w:r w:rsidRPr="001C3AC4">
        <w:rPr>
          <w:rFonts w:ascii="BrowalliaUPC" w:hAnsi="BrowalliaUPC" w:cs="BrowalliaUPC"/>
          <w:sz w:val="32"/>
          <w:szCs w:val="32"/>
        </w:rPr>
        <w:t xml:space="preserve">revision)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หากสถานการณ์มีการเปลี่ยนแปลงจนกระทบต่อการเจรจาจัดหา (3) ผู้นำเข้าจะต้องมีการเปิดเงื่อนไข </w:t>
      </w:r>
      <w:r w:rsidRPr="001C3AC4">
        <w:rPr>
          <w:rFonts w:ascii="BrowalliaUPC" w:hAnsi="BrowalliaUPC" w:cs="BrowalliaUPC"/>
          <w:sz w:val="32"/>
          <w:szCs w:val="32"/>
        </w:rPr>
        <w:t xml:space="preserve">take or pay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ที่ยืดหยุ่นเพื่อประกอบการพิจารณา และ (4) เนื่องจากตลาด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ในระยะนี้มีความผันผวนและมีแนวโน้มเข้าสู่ภาวะ </w:t>
      </w:r>
      <w:r w:rsidRPr="001C3AC4">
        <w:rPr>
          <w:rFonts w:ascii="BrowalliaUPC" w:hAnsi="BrowalliaUPC" w:cs="BrowalliaUPC"/>
          <w:sz w:val="32"/>
          <w:szCs w:val="32"/>
        </w:rPr>
        <w:t xml:space="preserve">Seller’s Market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หากไม่สามารถจัดหา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>โดยหลักเกณฑ์ราคานำเข้าดังกล่าวได้ ให้นำเสนอหลักเกณฑ์ราคาที่ดีที่สุดต่อ กบง. พิจารณา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    7. การประเมินผลกระทบต่ออัตราค่าไฟฟ้าโดยอัตโนมัติ (</w:t>
      </w:r>
      <w:r w:rsidRPr="001C3AC4">
        <w:rPr>
          <w:rFonts w:ascii="BrowalliaUPC" w:hAnsi="BrowalliaUPC" w:cs="BrowalliaUPC"/>
          <w:sz w:val="32"/>
          <w:szCs w:val="32"/>
        </w:rPr>
        <w:t xml:space="preserve">Ft)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โดยกำหนดสมมติฐานการนำเข้า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มาใช้เป็นเชื้อเพลิงสำหรับโรงไฟฟ้า 2 แห่ง ได้แก่ การไฟฟ้าฝ่ายผลิตแห่งประเทศไทย (กฟผ.) นำเข้า จำนวน 1.8 ล้านตันต่อปี และ </w:t>
      </w:r>
      <w:r w:rsidRPr="001C3AC4">
        <w:rPr>
          <w:rFonts w:ascii="BrowalliaUPC" w:hAnsi="BrowalliaUPC" w:cs="BrowalliaUPC"/>
          <w:sz w:val="32"/>
          <w:szCs w:val="32"/>
        </w:rPr>
        <w:t xml:space="preserve">Shipper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รายใหม่ นำเข้าจำนวน 0.5 ล้านตันต่อปี โดยมีการส่งผ่านค่าไฟฟ้าผ่านค่า </w:t>
      </w:r>
      <w:r w:rsidRPr="001C3AC4">
        <w:rPr>
          <w:rFonts w:ascii="BrowalliaUPC" w:hAnsi="BrowalliaUPC" w:cs="BrowalliaUPC"/>
          <w:sz w:val="32"/>
          <w:szCs w:val="32"/>
        </w:rPr>
        <w:t xml:space="preserve">Ft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และมีการปรับค่าสะสมที่เกิดขึ้นจากผลต่างระหว่างค่า </w:t>
      </w:r>
      <w:r w:rsidRPr="001C3AC4">
        <w:rPr>
          <w:rFonts w:ascii="BrowalliaUPC" w:hAnsi="BrowalliaUPC" w:cs="BrowalliaUPC"/>
          <w:sz w:val="32"/>
          <w:szCs w:val="32"/>
        </w:rPr>
        <w:t xml:space="preserve">Ft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ที่คำนวณได้กับค่า </w:t>
      </w:r>
      <w:r w:rsidRPr="001C3AC4">
        <w:rPr>
          <w:rFonts w:ascii="BrowalliaUPC" w:hAnsi="BrowalliaUPC" w:cs="BrowalliaUPC"/>
          <w:sz w:val="32"/>
          <w:szCs w:val="32"/>
        </w:rPr>
        <w:t xml:space="preserve">Ft </w:t>
      </w:r>
      <w:r w:rsidRPr="001C3AC4">
        <w:rPr>
          <w:rFonts w:ascii="BrowalliaUPC" w:hAnsi="BrowalliaUPC" w:cs="BrowalliaUPC"/>
          <w:sz w:val="32"/>
          <w:szCs w:val="32"/>
          <w:cs/>
        </w:rPr>
        <w:t>ที่เก็บจริง (</w:t>
      </w:r>
      <w:r w:rsidRPr="001C3AC4">
        <w:rPr>
          <w:rFonts w:ascii="BrowalliaUPC" w:hAnsi="BrowalliaUPC" w:cs="BrowalliaUPC"/>
          <w:sz w:val="32"/>
          <w:szCs w:val="32"/>
        </w:rPr>
        <w:t xml:space="preserve">Accumulate Factor: AF)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ทั้งนี้ จากการวิเคราะห์กระทบต่อค่า </w:t>
      </w:r>
      <w:r w:rsidRPr="001C3AC4">
        <w:rPr>
          <w:rFonts w:ascii="BrowalliaUPC" w:hAnsi="BrowalliaUPC" w:cs="BrowalliaUPC"/>
          <w:sz w:val="32"/>
          <w:szCs w:val="32"/>
        </w:rPr>
        <w:t xml:space="preserve">Ft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เฉลี่ยตั้งแต่ปี 2558 ถึงปี 2564 พบว่า การนำเข้า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ตามสูตรราคาในรูปแบบ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มีผลกระทบต่อค่า </w:t>
      </w:r>
      <w:r w:rsidRPr="001C3AC4">
        <w:rPr>
          <w:rFonts w:ascii="BrowalliaUPC" w:hAnsi="BrowalliaUPC" w:cs="BrowalliaUPC"/>
          <w:sz w:val="32"/>
          <w:szCs w:val="32"/>
        </w:rPr>
        <w:t xml:space="preserve">Ft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ไม่มากนัก โดยทำให้ค่า </w:t>
      </w:r>
      <w:r w:rsidRPr="001C3AC4">
        <w:rPr>
          <w:rFonts w:ascii="BrowalliaUPC" w:hAnsi="BrowalliaUPC" w:cs="BrowalliaUPC"/>
          <w:sz w:val="32"/>
          <w:szCs w:val="32"/>
        </w:rPr>
        <w:t xml:space="preserve">Ft </w:t>
      </w:r>
      <w:r w:rsidRPr="001C3AC4">
        <w:rPr>
          <w:rFonts w:ascii="BrowalliaUPC" w:hAnsi="BrowalliaUPC" w:cs="BrowalliaUPC"/>
          <w:sz w:val="32"/>
          <w:szCs w:val="32"/>
          <w:cs/>
        </w:rPr>
        <w:t>เฉลี่ยเพิ่มขึ้น 0.78 สตางค์ต่อหน่วย เมื่อเทียบกับสัญญาเดิม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C3AC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1C3AC4" w:rsidRPr="001C3AC4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1. เห็นชอบหลักเกณฑ์ราคานำเข้า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(LNG Benchmark) </w:t>
      </w:r>
      <w:r w:rsidRPr="001C3AC4">
        <w:rPr>
          <w:rFonts w:ascii="BrowalliaUPC" w:hAnsi="BrowalliaUPC" w:cs="BrowalliaUPC"/>
          <w:sz w:val="32"/>
          <w:szCs w:val="32"/>
          <w:cs/>
        </w:rPr>
        <w:t>สำหรับกลุ่มที่อยู่ภายใต้การกำกับดูแลของคณะกรรมการกำกับกิจการพลังงาน (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1C3AC4">
        <w:rPr>
          <w:rFonts w:ascii="BrowalliaUPC" w:hAnsi="BrowalliaUPC" w:cs="BrowalliaUPC"/>
          <w:sz w:val="32"/>
          <w:szCs w:val="32"/>
          <w:cs/>
        </w:rPr>
        <w:t>เป็น 3 รูปแบบ ได้แก่ (1) สมการในรูปแบบเส้นตรงที่อ้างอิงราคาน้ำมัน (</w:t>
      </w:r>
      <w:r w:rsidRPr="001C3AC4">
        <w:rPr>
          <w:rFonts w:ascii="BrowalliaUPC" w:hAnsi="BrowalliaUPC" w:cs="BrowalliaUPC"/>
          <w:sz w:val="32"/>
          <w:szCs w:val="32"/>
        </w:rPr>
        <w:t>Oil linked linear formula) (</w:t>
      </w:r>
      <w:r w:rsidRPr="001C3AC4">
        <w:rPr>
          <w:rFonts w:ascii="BrowalliaUPC" w:hAnsi="BrowalliaUPC" w:cs="BrowalliaUPC"/>
          <w:sz w:val="32"/>
          <w:szCs w:val="32"/>
          <w:cs/>
        </w:rPr>
        <w:t>2) สมการในรูปแบบเส้นตรงที่อ้างอิงราคาก๊าซธรรมชาติ (</w:t>
      </w:r>
      <w:r w:rsidRPr="001C3AC4">
        <w:rPr>
          <w:rFonts w:ascii="BrowalliaUPC" w:hAnsi="BrowalliaUPC" w:cs="BrowalliaUPC"/>
          <w:sz w:val="32"/>
          <w:szCs w:val="32"/>
        </w:rPr>
        <w:t xml:space="preserve">Gas linked linear formula)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และ (3) สมการในรูปแบบ </w:t>
      </w:r>
      <w:r w:rsidRPr="001C3AC4">
        <w:rPr>
          <w:rFonts w:ascii="BrowalliaUPC" w:hAnsi="BrowalliaUPC" w:cs="BrowalliaUPC"/>
          <w:sz w:val="32"/>
          <w:szCs w:val="32"/>
        </w:rPr>
        <w:t xml:space="preserve">Hybrid </w:t>
      </w:r>
      <w:r w:rsidRPr="001C3AC4">
        <w:rPr>
          <w:rFonts w:ascii="BrowalliaUPC" w:hAnsi="BrowalliaUPC" w:cs="BrowalliaUPC"/>
          <w:sz w:val="32"/>
          <w:szCs w:val="32"/>
          <w:cs/>
        </w:rPr>
        <w:t>ซึ่งอ้างอิงทั้งราคาน้ำมันและก๊าซธรรมชาติ และมีจุดหักมุม (</w:t>
      </w:r>
      <w:r w:rsidRPr="001C3AC4">
        <w:rPr>
          <w:rFonts w:ascii="BrowalliaUPC" w:hAnsi="BrowalliaUPC" w:cs="BrowalliaUPC"/>
          <w:sz w:val="32"/>
          <w:szCs w:val="32"/>
        </w:rPr>
        <w:t xml:space="preserve">Hybrid oil gas linked formula with a kink point) </w:t>
      </w:r>
      <w:r w:rsidRPr="001C3AC4">
        <w:rPr>
          <w:rFonts w:ascii="BrowalliaUPC" w:hAnsi="BrowalliaUPC" w:cs="BrowalliaUPC"/>
          <w:sz w:val="32"/>
          <w:szCs w:val="32"/>
          <w:cs/>
        </w:rPr>
        <w:t>และมอบหมายให้ฝ่ายเลขานุการฯ นำเสนอคณะกรรมการนโยบายพลังงานแห่งชาติ (</w:t>
      </w:r>
      <w:proofErr w:type="spellStart"/>
      <w:r w:rsidRPr="001C3AC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C3AC4">
        <w:rPr>
          <w:rFonts w:ascii="BrowalliaUPC" w:hAnsi="BrowalliaUPC" w:cs="BrowalliaUPC"/>
          <w:sz w:val="32"/>
          <w:szCs w:val="32"/>
          <w:cs/>
        </w:rPr>
        <w:t>.) เพื่อพิจารณาต่อไป</w:t>
      </w:r>
    </w:p>
    <w:p w:rsidR="00842C99" w:rsidRPr="00015F5C" w:rsidRDefault="001C3AC4" w:rsidP="001C3AC4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C3AC4">
        <w:rPr>
          <w:rFonts w:ascii="BrowalliaUPC" w:hAnsi="BrowalliaUPC" w:cs="BrowalliaUPC"/>
          <w:sz w:val="32"/>
          <w:szCs w:val="32"/>
          <w:cs/>
        </w:rPr>
        <w:t xml:space="preserve">    2. มอบหมายให้คณะกรรมการกำกับกิจการพลังงาน (กกพ.) เป็นผู้กำกับดูแลและพิจารณาในรายละเอียดของหลักเกณฑ์ราคานำเข้า </w:t>
      </w:r>
      <w:r w:rsidRPr="001C3AC4">
        <w:rPr>
          <w:rFonts w:ascii="BrowalliaUPC" w:hAnsi="BrowalliaUPC" w:cs="BrowalliaUPC"/>
          <w:sz w:val="32"/>
          <w:szCs w:val="32"/>
        </w:rPr>
        <w:t xml:space="preserve">LNG </w:t>
      </w:r>
      <w:r w:rsidRPr="001C3AC4">
        <w:rPr>
          <w:rFonts w:ascii="BrowalliaUPC" w:hAnsi="BrowalliaUPC" w:cs="BrowalliaUPC"/>
          <w:sz w:val="32"/>
          <w:szCs w:val="32"/>
          <w:cs/>
        </w:rPr>
        <w:t xml:space="preserve">สำหรับกลุ่ม </w:t>
      </w:r>
      <w:r w:rsidRPr="001C3AC4">
        <w:rPr>
          <w:rFonts w:ascii="BrowalliaUPC" w:hAnsi="BrowalliaUPC" w:cs="BrowalliaUPC"/>
          <w:sz w:val="32"/>
          <w:szCs w:val="32"/>
        </w:rPr>
        <w:t xml:space="preserve">Regulated Market </w:t>
      </w:r>
      <w:r w:rsidRPr="001C3AC4">
        <w:rPr>
          <w:rFonts w:ascii="BrowalliaUPC" w:hAnsi="BrowalliaUPC" w:cs="BrowalliaUPC"/>
          <w:sz w:val="32"/>
          <w:szCs w:val="32"/>
          <w:cs/>
        </w:rPr>
        <w:t>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C3AC4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A8E2C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248</cp:revision>
  <dcterms:created xsi:type="dcterms:W3CDTF">2018-03-30T07:36:00Z</dcterms:created>
  <dcterms:modified xsi:type="dcterms:W3CDTF">2022-09-27T03:07:00Z</dcterms:modified>
</cp:coreProperties>
</file>